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685F" w:rsidRDefault="00DA685F" w:rsidP="00DA685F">
      <w:pPr>
        <w:autoSpaceDE w:val="0"/>
        <w:autoSpaceDN w:val="0"/>
        <w:adjustRightInd w:val="0"/>
        <w:spacing w:after="240" w:line="340" w:lineRule="atLeast"/>
        <w:rPr>
          <w:rFonts w:ascii="MS Mincho" w:eastAsia="MS Mincho" w:hAnsi="MS Mincho" w:cs="MS Mincho"/>
          <w:b/>
          <w:bCs/>
          <w:color w:val="A1002B"/>
          <w:sz w:val="29"/>
          <w:szCs w:val="29"/>
          <w:lang w:val="en-US"/>
        </w:rPr>
      </w:pPr>
      <w:r w:rsidRPr="00DA685F">
        <w:rPr>
          <w:rFonts w:ascii="Times" w:hAnsi="Times" w:cs="Times"/>
          <w:b/>
          <w:bCs/>
          <w:color w:val="A1002B"/>
          <w:sz w:val="29"/>
          <w:szCs w:val="29"/>
          <w:lang w:val="en-US"/>
        </w:rPr>
        <w:t>Summary</w:t>
      </w:r>
      <w:r w:rsidRPr="00DA685F">
        <w:rPr>
          <w:rFonts w:ascii="MS Mincho" w:eastAsia="MS Mincho" w:hAnsi="MS Mincho" w:cs="MS Mincho" w:hint="eastAsia"/>
          <w:b/>
          <w:bCs/>
          <w:color w:val="A1002B"/>
          <w:sz w:val="29"/>
          <w:szCs w:val="29"/>
          <w:lang w:val="en-US"/>
        </w:rPr>
        <w:t> </w:t>
      </w:r>
    </w:p>
    <w:p w:rsidR="00DA685F" w:rsidRPr="00DA685F" w:rsidRDefault="00DA685F" w:rsidP="00DA685F">
      <w:pPr>
        <w:autoSpaceDE w:val="0"/>
        <w:autoSpaceDN w:val="0"/>
        <w:adjustRightInd w:val="0"/>
        <w:spacing w:after="240" w:line="340" w:lineRule="atLeast"/>
        <w:rPr>
          <w:rFonts w:ascii="Times" w:hAnsi="Times" w:cs="Times"/>
          <w:color w:val="000000"/>
          <w:lang w:val="en-US"/>
        </w:rPr>
      </w:pPr>
      <w:bookmarkStart w:id="0" w:name="_GoBack"/>
      <w:bookmarkEnd w:id="0"/>
      <w:r w:rsidRPr="00DA685F">
        <w:rPr>
          <w:rFonts w:ascii="Times" w:hAnsi="Times" w:cs="Times"/>
          <w:b/>
          <w:bCs/>
          <w:color w:val="A1002B"/>
          <w:lang w:val="en-US"/>
        </w:rPr>
        <w:t xml:space="preserve">Background </w:t>
      </w:r>
      <w:r w:rsidRPr="00DA685F">
        <w:rPr>
          <w:rFonts w:ascii="Times" w:hAnsi="Times" w:cs="Times"/>
          <w:b/>
          <w:bCs/>
          <w:color w:val="000000"/>
          <w:lang w:val="en-US"/>
        </w:rPr>
        <w:t xml:space="preserve">TNF inhibitors have improved treatment of Crohn’s disease, ulcerative colitis, spondyloarthritis, rheumatoid arthritis, psoriatic arthritis, and chronic plaque psoriasis, but are expensive therapies. The aim of NOR- SWITCH was to examine switching from originator infliximab to the less expensive biosimilar CT-P13 regarding efficacy, safety, and immunogenicity. </w:t>
      </w:r>
    </w:p>
    <w:p w:rsidR="00DA685F" w:rsidRPr="00DA685F" w:rsidRDefault="00DA685F" w:rsidP="00DA685F">
      <w:pPr>
        <w:autoSpaceDE w:val="0"/>
        <w:autoSpaceDN w:val="0"/>
        <w:adjustRightInd w:val="0"/>
        <w:spacing w:after="240" w:line="280" w:lineRule="atLeast"/>
        <w:rPr>
          <w:rFonts w:ascii="Times" w:hAnsi="Times" w:cs="Times"/>
          <w:color w:val="000000"/>
          <w:lang w:val="en-US"/>
        </w:rPr>
      </w:pPr>
      <w:r w:rsidRPr="00DA685F">
        <w:rPr>
          <w:rFonts w:ascii="Times" w:hAnsi="Times" w:cs="Times"/>
          <w:b/>
          <w:bCs/>
          <w:color w:val="A1002B"/>
          <w:lang w:val="en-US"/>
        </w:rPr>
        <w:t xml:space="preserve">Methods </w:t>
      </w:r>
      <w:r w:rsidRPr="00DA685F">
        <w:rPr>
          <w:rFonts w:ascii="Times" w:hAnsi="Times" w:cs="Times"/>
          <w:b/>
          <w:bCs/>
          <w:color w:val="000000"/>
          <w:lang w:val="en-US"/>
        </w:rPr>
        <w:t xml:space="preserve">The study is a randomised, non-inferiority, double-blind, phase 4 trial with 52 weeks of follow-up. Adult patients on stable treatment with infliximab originator treated in a hospital setting for at least 6 months were eligible for participation. Patients with informed consent were randomised in a 1:1 ratio to either continued infliximab originator or to switch to CT-P13 treatment, with unchanged dosing regimen. Data were collected at infusion visits in 40 Norwegian study centres. Patients, assessors, and patient care providers were masked to treatment allocation. The primary endpoint was disease worsening during 52-week follow-up. 394 patients in the primary per-protocol set were needed to show a non-inferiority margin of 15%, assuming 30% disease worsening in each group. This trial is registered with ClinicalTrials.gov, number NCT02148640. </w:t>
      </w:r>
    </w:p>
    <w:p w:rsidR="00DA685F" w:rsidRPr="00DA685F" w:rsidRDefault="00DA685F" w:rsidP="00DA685F">
      <w:pPr>
        <w:autoSpaceDE w:val="0"/>
        <w:autoSpaceDN w:val="0"/>
        <w:adjustRightInd w:val="0"/>
        <w:spacing w:after="240" w:line="280" w:lineRule="atLeast"/>
        <w:rPr>
          <w:rFonts w:ascii="Times" w:hAnsi="Times" w:cs="Times"/>
          <w:color w:val="000000"/>
          <w:lang w:val="en-US"/>
        </w:rPr>
      </w:pPr>
      <w:r w:rsidRPr="00DA685F">
        <w:rPr>
          <w:rFonts w:ascii="Times" w:hAnsi="Times" w:cs="Times"/>
          <w:b/>
          <w:bCs/>
          <w:color w:val="A1002B"/>
          <w:lang w:val="en-US"/>
        </w:rPr>
        <w:t xml:space="preserve">Findings </w:t>
      </w:r>
      <w:r w:rsidRPr="00DA685F">
        <w:rPr>
          <w:rFonts w:ascii="Times" w:hAnsi="Times" w:cs="Times"/>
          <w:b/>
          <w:bCs/>
          <w:color w:val="000000"/>
          <w:lang w:val="en-US"/>
        </w:rPr>
        <w:t xml:space="preserve">Between Oct 24, 2014, and July 8, 2015, 482 patients were enrolled and randomised (241 to infliximab originator, 241 to CT-P13 group; one patient was excluded from the full analysis and safety set for CT-P13) and 408 were included in the per-protocol set (202 in the infliximab originator group and 206 in the CT-P13 group). 155 (32%) patients in the full analysis set had Crohn’s disease, 93 (19%) had ulcerative colitis, 91 (19%) had spondyloarthritis, 77 (16%) had rheumatoid arthritis, 30 (6%) had psoriatic arthritis, and 35 (7%) had chronic plaque psoriasis. Disease worsening occurred in 53 (26%) patients in the infliximab originator group and 61 (30%) patients in the CT-P13 group (per-protocol set; adjusted treatment difference –4·4%, 95% CI –12·7 to 3·9). The frequency of adverse events was similar between groups (for serious adverse events, 24 [10%] for infliximab originator </w:t>
      </w:r>
      <w:r w:rsidRPr="00DA685F">
        <w:rPr>
          <w:rFonts w:ascii="Times" w:hAnsi="Times" w:cs="Times"/>
          <w:i/>
          <w:iCs/>
          <w:color w:val="000000"/>
          <w:lang w:val="en-US"/>
        </w:rPr>
        <w:t xml:space="preserve">vs </w:t>
      </w:r>
      <w:r w:rsidRPr="00DA685F">
        <w:rPr>
          <w:rFonts w:ascii="Times" w:hAnsi="Times" w:cs="Times"/>
          <w:b/>
          <w:bCs/>
          <w:color w:val="000000"/>
          <w:lang w:val="en-US"/>
        </w:rPr>
        <w:t xml:space="preserve">21 [9%] for CT-P13; for overall adverse events, 168 [70%] </w:t>
      </w:r>
      <w:r w:rsidRPr="00DA685F">
        <w:rPr>
          <w:rFonts w:ascii="Times" w:hAnsi="Times" w:cs="Times"/>
          <w:i/>
          <w:iCs/>
          <w:color w:val="000000"/>
          <w:lang w:val="en-US"/>
        </w:rPr>
        <w:t xml:space="preserve">vs </w:t>
      </w:r>
      <w:r w:rsidRPr="00DA685F">
        <w:rPr>
          <w:rFonts w:ascii="Times" w:hAnsi="Times" w:cs="Times"/>
          <w:b/>
          <w:bCs/>
          <w:color w:val="000000"/>
          <w:lang w:val="en-US"/>
        </w:rPr>
        <w:t xml:space="preserve">164 [68%]; and for adverse events leading to discontinuation, nine [4%] </w:t>
      </w:r>
      <w:r w:rsidRPr="00DA685F">
        <w:rPr>
          <w:rFonts w:ascii="Times" w:hAnsi="Times" w:cs="Times"/>
          <w:i/>
          <w:iCs/>
          <w:color w:val="000000"/>
          <w:lang w:val="en-US"/>
        </w:rPr>
        <w:t xml:space="preserve">vs </w:t>
      </w:r>
      <w:r w:rsidRPr="00DA685F">
        <w:rPr>
          <w:rFonts w:ascii="Times" w:hAnsi="Times" w:cs="Times"/>
          <w:b/>
          <w:bCs/>
          <w:color w:val="000000"/>
          <w:lang w:val="en-US"/>
        </w:rPr>
        <w:t xml:space="preserve">eight [3%], respectively). </w:t>
      </w:r>
    </w:p>
    <w:p w:rsidR="00D76706" w:rsidRPr="00DA685F" w:rsidRDefault="00DA685F" w:rsidP="00DA685F">
      <w:pPr>
        <w:rPr>
          <w:lang w:val="en-US"/>
        </w:rPr>
      </w:pPr>
      <w:r w:rsidRPr="00DA685F">
        <w:rPr>
          <w:rFonts w:ascii="Times" w:hAnsi="Times" w:cs="Times"/>
          <w:b/>
          <w:bCs/>
          <w:color w:val="A1002B"/>
          <w:lang w:val="en-US"/>
        </w:rPr>
        <w:t xml:space="preserve">Interpretation </w:t>
      </w:r>
      <w:r w:rsidRPr="00DA685F">
        <w:rPr>
          <w:rFonts w:ascii="Times" w:hAnsi="Times" w:cs="Times"/>
          <w:b/>
          <w:bCs/>
          <w:color w:val="000000"/>
          <w:lang w:val="en-US"/>
        </w:rPr>
        <w:t>The NOR-SWITCH trial showed that switching from infliximab originator to CT-P13 was not inferior to continued treatment with infliximab originator according to a prespecified non-inferiority margin of 15%. The study was not powered to show non-inferiority in individual diseases.</w:t>
      </w:r>
    </w:p>
    <w:sectPr w:rsidR="00D76706" w:rsidRPr="00DA685F" w:rsidSect="00CF5953">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91BAA"/>
    <w:multiLevelType w:val="multilevel"/>
    <w:tmpl w:val="2B560CAC"/>
    <w:lvl w:ilvl="0">
      <w:start w:val="1"/>
      <w:numFmt w:val="decimal"/>
      <w:lvlText w:val="%1."/>
      <w:lvlJc w:val="left"/>
      <w:pPr>
        <w:ind w:left="340" w:hanging="340"/>
      </w:pPr>
      <w:rPr>
        <w:rFonts w:hint="default"/>
      </w:rPr>
    </w:lvl>
    <w:lvl w:ilvl="1">
      <w:start w:val="1"/>
      <w:numFmt w:val="decimal"/>
      <w:pStyle w:val="Overskrift2"/>
      <w:lvlText w:val="%1.%2."/>
      <w:lvlJc w:val="left"/>
      <w:pPr>
        <w:ind w:left="792" w:hanging="452"/>
      </w:pPr>
      <w:rPr>
        <w:rFonts w:hint="default"/>
      </w:rPr>
    </w:lvl>
    <w:lvl w:ilvl="2">
      <w:start w:val="1"/>
      <w:numFmt w:val="decimal"/>
      <w:pStyle w:val="Overskrift3"/>
      <w:lvlText w:val="%1.%2.%3."/>
      <w:lvlJc w:val="left"/>
      <w:pPr>
        <w:tabs>
          <w:tab w:val="num" w:pos="1225"/>
        </w:tabs>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71E4531"/>
    <w:multiLevelType w:val="multilevel"/>
    <w:tmpl w:val="346A57E4"/>
    <w:lvl w:ilvl="0">
      <w:start w:val="1"/>
      <w:numFmt w:val="decimal"/>
      <w:pStyle w:val="Overskrif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85F"/>
    <w:rsid w:val="00062D40"/>
    <w:rsid w:val="000A7A64"/>
    <w:rsid w:val="000D148C"/>
    <w:rsid w:val="001C1A91"/>
    <w:rsid w:val="001D4F56"/>
    <w:rsid w:val="002C433B"/>
    <w:rsid w:val="002E6788"/>
    <w:rsid w:val="00304A16"/>
    <w:rsid w:val="00452717"/>
    <w:rsid w:val="00467A27"/>
    <w:rsid w:val="004C2804"/>
    <w:rsid w:val="0064790A"/>
    <w:rsid w:val="007A4CC0"/>
    <w:rsid w:val="0084692E"/>
    <w:rsid w:val="00870865"/>
    <w:rsid w:val="008772A0"/>
    <w:rsid w:val="008F58D9"/>
    <w:rsid w:val="009C2420"/>
    <w:rsid w:val="00A531BE"/>
    <w:rsid w:val="00B42D64"/>
    <w:rsid w:val="00BF5CC6"/>
    <w:rsid w:val="00CA58A4"/>
    <w:rsid w:val="00CF5953"/>
    <w:rsid w:val="00D63D62"/>
    <w:rsid w:val="00D76706"/>
    <w:rsid w:val="00D91173"/>
    <w:rsid w:val="00DA685F"/>
    <w:rsid w:val="00F57DE2"/>
    <w:rsid w:val="00F652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52643492"/>
  <w15:chartTrackingRefBased/>
  <w15:docId w15:val="{7850C202-37A5-6640-A38B-EC92D332C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Overskrift1">
    <w:name w:val="heading 1"/>
    <w:basedOn w:val="Normal"/>
    <w:next w:val="Brdtekst-frsteinnrykk"/>
    <w:link w:val="Overskrift1Tegn"/>
    <w:autoRedefine/>
    <w:uiPriority w:val="9"/>
    <w:qFormat/>
    <w:rsid w:val="000D148C"/>
    <w:pPr>
      <w:keepNext/>
      <w:keepLines/>
      <w:numPr>
        <w:numId w:val="4"/>
      </w:numPr>
      <w:spacing w:before="240"/>
      <w:ind w:left="340" w:hanging="340"/>
      <w:outlineLvl w:val="0"/>
    </w:pPr>
    <w:rPr>
      <w:rFonts w:ascii="Times New Roman" w:eastAsiaTheme="majorEastAsia" w:hAnsi="Times New Roman" w:cstheme="majorBidi"/>
      <w:b/>
      <w:color w:val="000000" w:themeColor="text1"/>
      <w:szCs w:val="32"/>
    </w:rPr>
  </w:style>
  <w:style w:type="paragraph" w:styleId="Overskrift2">
    <w:name w:val="heading 2"/>
    <w:basedOn w:val="Overskrift1"/>
    <w:next w:val="Brdtekst-frsteinnrykk2"/>
    <w:link w:val="Overskrift2Tegn"/>
    <w:autoRedefine/>
    <w:uiPriority w:val="9"/>
    <w:unhideWhenUsed/>
    <w:qFormat/>
    <w:rsid w:val="000D148C"/>
    <w:pPr>
      <w:numPr>
        <w:ilvl w:val="1"/>
        <w:numId w:val="3"/>
      </w:numPr>
      <w:spacing w:before="40"/>
      <w:outlineLvl w:val="1"/>
    </w:pPr>
    <w:rPr>
      <w:b w:val="0"/>
      <w:szCs w:val="26"/>
    </w:rPr>
  </w:style>
  <w:style w:type="paragraph" w:styleId="Overskrift3">
    <w:name w:val="heading 3"/>
    <w:basedOn w:val="Normal"/>
    <w:next w:val="Normal"/>
    <w:link w:val="Overskrift3Tegn"/>
    <w:autoRedefine/>
    <w:uiPriority w:val="9"/>
    <w:unhideWhenUsed/>
    <w:qFormat/>
    <w:rsid w:val="000D148C"/>
    <w:pPr>
      <w:keepNext/>
      <w:keepLines/>
      <w:numPr>
        <w:ilvl w:val="2"/>
        <w:numId w:val="3"/>
      </w:numPr>
      <w:spacing w:before="40"/>
      <w:outlineLvl w:val="2"/>
    </w:pPr>
    <w:rPr>
      <w:rFonts w:ascii="Times New Roman" w:eastAsiaTheme="majorEastAsia" w:hAnsi="Times New Roman" w:cstheme="majorBidi"/>
      <w:b/>
      <w:color w:val="000000" w:themeColor="tex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innrykk">
    <w:name w:val="Body Text Indent"/>
    <w:basedOn w:val="Normal"/>
    <w:link w:val="BrdtekstinnrykkTegn"/>
    <w:uiPriority w:val="99"/>
    <w:semiHidden/>
    <w:unhideWhenUsed/>
    <w:rsid w:val="000D148C"/>
    <w:pPr>
      <w:spacing w:after="120"/>
      <w:ind w:left="283"/>
    </w:pPr>
  </w:style>
  <w:style w:type="character" w:customStyle="1" w:styleId="BrdtekstinnrykkTegn">
    <w:name w:val="Brødtekstinnrykk Tegn"/>
    <w:basedOn w:val="Standardskriftforavsnitt"/>
    <w:link w:val="Brdtekstinnrykk"/>
    <w:uiPriority w:val="99"/>
    <w:semiHidden/>
    <w:rsid w:val="000D148C"/>
  </w:style>
  <w:style w:type="paragraph" w:styleId="Brdtekst-frsteinnrykk2">
    <w:name w:val="Body Text First Indent 2"/>
    <w:basedOn w:val="Brdtekstinnrykk"/>
    <w:link w:val="Brdtekst-frsteinnrykk2Tegn"/>
    <w:autoRedefine/>
    <w:uiPriority w:val="99"/>
    <w:unhideWhenUsed/>
    <w:qFormat/>
    <w:rsid w:val="000D148C"/>
    <w:pPr>
      <w:ind w:left="68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0D148C"/>
    <w:rPr>
      <w:rFonts w:ascii="Times New Roman" w:hAnsi="Times New Roman"/>
    </w:rPr>
  </w:style>
  <w:style w:type="paragraph" w:styleId="Brdtekst">
    <w:name w:val="Body Text"/>
    <w:basedOn w:val="Normal"/>
    <w:link w:val="BrdtekstTegn"/>
    <w:uiPriority w:val="99"/>
    <w:semiHidden/>
    <w:unhideWhenUsed/>
    <w:rsid w:val="000D148C"/>
    <w:pPr>
      <w:spacing w:after="120"/>
    </w:pPr>
  </w:style>
  <w:style w:type="character" w:customStyle="1" w:styleId="BrdtekstTegn">
    <w:name w:val="Brødtekst Tegn"/>
    <w:basedOn w:val="Standardskriftforavsnitt"/>
    <w:link w:val="Brdtekst"/>
    <w:uiPriority w:val="99"/>
    <w:semiHidden/>
    <w:rsid w:val="000D148C"/>
  </w:style>
  <w:style w:type="paragraph" w:styleId="Brdtekst-frsteinnrykk">
    <w:name w:val="Body Text First Indent"/>
    <w:basedOn w:val="Brdtekst"/>
    <w:link w:val="Brdtekst-frsteinnrykkTegn"/>
    <w:autoRedefine/>
    <w:uiPriority w:val="99"/>
    <w:unhideWhenUsed/>
    <w:qFormat/>
    <w:rsid w:val="000D148C"/>
    <w:pPr>
      <w:ind w:firstLine="340"/>
    </w:pPr>
    <w:rPr>
      <w:rFonts w:ascii="Times New Roman" w:hAnsi="Times New Roman"/>
    </w:rPr>
  </w:style>
  <w:style w:type="character" w:customStyle="1" w:styleId="Brdtekst-frsteinnrykkTegn">
    <w:name w:val="Brødtekst - første innrykk Tegn"/>
    <w:basedOn w:val="BrdtekstTegn"/>
    <w:link w:val="Brdtekst-frsteinnrykk"/>
    <w:uiPriority w:val="99"/>
    <w:rsid w:val="000D148C"/>
    <w:rPr>
      <w:rFonts w:ascii="Times New Roman" w:hAnsi="Times New Roman"/>
    </w:rPr>
  </w:style>
  <w:style w:type="character" w:customStyle="1" w:styleId="Overskrift3Tegn">
    <w:name w:val="Overskrift 3 Tegn"/>
    <w:basedOn w:val="Standardskriftforavsnitt"/>
    <w:link w:val="Overskrift3"/>
    <w:uiPriority w:val="9"/>
    <w:rsid w:val="000D148C"/>
    <w:rPr>
      <w:rFonts w:ascii="Times New Roman" w:eastAsiaTheme="majorEastAsia" w:hAnsi="Times New Roman" w:cstheme="majorBidi"/>
      <w:b/>
      <w:color w:val="000000" w:themeColor="text1"/>
    </w:rPr>
  </w:style>
  <w:style w:type="character" w:customStyle="1" w:styleId="Overskrift2Tegn">
    <w:name w:val="Overskrift 2 Tegn"/>
    <w:basedOn w:val="Standardskriftforavsnitt"/>
    <w:link w:val="Overskrift2"/>
    <w:uiPriority w:val="9"/>
    <w:rsid w:val="000D148C"/>
    <w:rPr>
      <w:rFonts w:ascii="Times New Roman" w:eastAsiaTheme="majorEastAsia" w:hAnsi="Times New Roman" w:cstheme="majorBidi"/>
      <w:b/>
      <w:color w:val="000000" w:themeColor="text1"/>
      <w:szCs w:val="26"/>
    </w:rPr>
  </w:style>
  <w:style w:type="character" w:customStyle="1" w:styleId="Overskrift1Tegn">
    <w:name w:val="Overskrift 1 Tegn"/>
    <w:basedOn w:val="Standardskriftforavsnitt"/>
    <w:link w:val="Overskrift1"/>
    <w:uiPriority w:val="9"/>
    <w:rsid w:val="000D148C"/>
    <w:rPr>
      <w:rFonts w:ascii="Times New Roman" w:eastAsiaTheme="majorEastAsia" w:hAnsi="Times New Roman" w:cstheme="majorBidi"/>
      <w:b/>
      <w:color w:val="000000" w:themeColor="text1"/>
      <w:szCs w:val="32"/>
    </w:rPr>
  </w:style>
  <w:style w:type="paragraph" w:customStyle="1" w:styleId="Brdtekst-frsteinnrykk3">
    <w:name w:val="Brødtekst - første innrykk 3"/>
    <w:basedOn w:val="Brdtekst-frsteinnrykk2"/>
    <w:autoRedefine/>
    <w:qFormat/>
    <w:rsid w:val="000D148C"/>
    <w:pPr>
      <w:ind w:left="102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2195</Characters>
  <Application>Microsoft Office Word</Application>
  <DocSecurity>0</DocSecurity>
  <Lines>18</Lines>
  <Paragraphs>5</Paragraphs>
  <ScaleCrop>false</ScaleCrop>
  <Company/>
  <LinksUpToDate>false</LinksUpToDate>
  <CharactersWithSpaces>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Christoffer Olsen</dc:creator>
  <cp:keywords/>
  <dc:description/>
  <cp:lastModifiedBy>Inge Christoffer Olsen</cp:lastModifiedBy>
  <cp:revision>1</cp:revision>
  <dcterms:created xsi:type="dcterms:W3CDTF">2018-08-23T08:45:00Z</dcterms:created>
  <dcterms:modified xsi:type="dcterms:W3CDTF">2018-08-23T08:46:00Z</dcterms:modified>
</cp:coreProperties>
</file>